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POLÍTICA INTERNA DE PROTEÇÃO DE DADOS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p>
      <w:pPr>
        <w:pStyle w:val="Heading2"/>
      </w:pPr>
      <w:r>
        <w:t>1. Identificação e finalidade</w:t>
      </w:r>
    </w:p>
    <w:p>
      <w:pPr>
        <w:spacing w:after="120"/>
        <w:jc w:val="both"/>
      </w:pPr>
      <w:r>
        <w:t>Este documento disciplina política interna de proteção de dados no âmbito de [EMPRESA / ORGANIZAÇÃO], indicando como dados pessoais são coletados, utilizados, armazenados, compartilhados e eliminados.</w:t>
      </w:r>
    </w:p>
    <w:p>
      <w:pPr>
        <w:pStyle w:val="Heading2"/>
      </w:pPr>
      <w:r>
        <w:t>2. Dados tratados e titulares</w:t>
      </w:r>
    </w:p>
    <w:p>
      <w:pPr>
        <w:spacing w:after="120"/>
        <w:jc w:val="both"/>
      </w:pPr>
      <w:r>
        <w:t>Podem ser tratados dados cadastrais, profissionais, financeiros, de contato, navegação e outros estritamente necessários às finalidades informadas. Dados sensíveis exigem fundamento e proteção reforçada.</w:t>
      </w:r>
    </w:p>
    <w:p>
      <w:pPr>
        <w:pStyle w:val="Heading2"/>
      </w:pPr>
      <w:r>
        <w:t>3. Finalidades e bases legais</w:t>
      </w:r>
    </w:p>
    <w:p>
      <w:pPr>
        <w:spacing w:after="120"/>
        <w:jc w:val="both"/>
      </w:pPr>
      <w:r>
        <w:t>O tratamento poderá ocorrer para execução de contratos, cumprimento de obrigação legal ou regulatória, exercício regular de direitos, proteção do crédito, legítimo interesse avaliado e consentimento, quando aplicável.</w:t>
      </w:r>
    </w:p>
    <w:p>
      <w:pPr>
        <w:pStyle w:val="Heading2"/>
      </w:pPr>
      <w:r>
        <w:t>4. Compartilhamento e operadores</w:t>
      </w:r>
    </w:p>
    <w:p>
      <w:pPr>
        <w:spacing w:after="120"/>
        <w:jc w:val="both"/>
      </w:pPr>
      <w:r>
        <w:t>Os dados poderão ser compartilhados com fornecedores, sistemas, autoridades e parceiros necessários, mediante controles contratuais, segurança e limitação de finalidade.</w:t>
      </w:r>
    </w:p>
    <w:p>
      <w:pPr>
        <w:pStyle w:val="Heading2"/>
      </w:pPr>
      <w:r>
        <w:t>5. Retenção e segurança</w:t>
      </w:r>
    </w:p>
    <w:p>
      <w:pPr>
        <w:spacing w:after="120"/>
        <w:jc w:val="both"/>
      </w:pPr>
      <w:r>
        <w:t>Os dados serão conservados pelo período necessário às finalidades e obrigações legais. Serão adotadas medidas técnicas e administrativas proporcionais aos riscos.</w:t>
      </w:r>
    </w:p>
    <w:p>
      <w:pPr>
        <w:pStyle w:val="Heading2"/>
      </w:pPr>
      <w:r>
        <w:t>6. Direitos do titular e contato</w:t>
      </w:r>
    </w:p>
    <w:p>
      <w:pPr>
        <w:spacing w:after="120"/>
        <w:jc w:val="both"/>
      </w:pPr>
      <w:r>
        <w:t>O titular poderá solicitar confirmação, acesso, correção, informação, portabilidade, oposição ou eliminação quando cabível, pelo canal [E-MAIL / FORMULÁRIO].</w:t>
      </w:r>
    </w:p>
    <w:p>
      <w:pPr>
        <w:pStyle w:val="Heading2"/>
      </w:pPr>
      <w:r>
        <w:t>7. Atualizações e vigência</w:t>
      </w:r>
    </w:p>
    <w:p>
      <w:pPr>
        <w:spacing w:after="120"/>
        <w:jc w:val="both"/>
      </w:pPr>
      <w:r>
        <w:t>A versão vigente será identificada por data. Mudanças relevantes serão comunicadas pelos meios adequados.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[CONTROLADOR / 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[TITULAR / CIÊNCIA,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