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APLICAÇÃO DOS RECURSOS NAS FINALIDADES INSTITUCIONAIS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